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9AC6">
      <w:pPr>
        <w:spacing w:line="240" w:lineRule="auto"/>
        <w:ind w:firstLine="0"/>
        <w:jc w:val="center"/>
        <w:rPr>
          <w:b/>
          <w:bCs/>
          <w:sz w:val="30"/>
          <w:szCs w:val="30"/>
        </w:rPr>
      </w:pPr>
      <w:bookmarkStart w:id="0" w:name="_GoBack"/>
      <w:bookmarkEnd w:id="0"/>
      <w:r>
        <w:rPr>
          <w:b/>
          <w:bCs/>
          <w:sz w:val="30"/>
          <w:szCs w:val="30"/>
        </w:rPr>
        <w:t>В І Д Г У К</w:t>
      </w:r>
    </w:p>
    <w:p w14:paraId="61510B22">
      <w:pPr>
        <w:spacing w:before="120" w:line="240" w:lineRule="auto"/>
        <w:ind w:firstLine="0"/>
        <w:jc w:val="center"/>
        <w:rPr>
          <w:b/>
          <w:bCs/>
        </w:rPr>
      </w:pPr>
      <w:r>
        <w:t>офіційного опонента на кваліфікаційну дисертаційну роботу</w:t>
      </w:r>
    </w:p>
    <w:p w14:paraId="692F865E">
      <w:pPr>
        <w:spacing w:before="180" w:after="120" w:line="240" w:lineRule="auto"/>
        <w:ind w:firstLine="0"/>
        <w:jc w:val="center"/>
        <w:rPr>
          <w:b/>
          <w:bCs/>
        </w:rPr>
      </w:pPr>
      <w:r>
        <w:rPr>
          <w:b/>
          <w:bCs/>
        </w:rPr>
        <w:t>СЕРГЄЄВА ОЛЕКСІЯ СЕРГІЙОВИЧА</w:t>
      </w:r>
    </w:p>
    <w:p w14:paraId="3A809402">
      <w:pPr>
        <w:spacing w:before="120" w:line="240" w:lineRule="auto"/>
        <w:ind w:firstLine="0"/>
      </w:pPr>
      <w:r>
        <w:rPr>
          <w:rFonts w:eastAsia="Times New Roman"/>
          <w:b/>
          <w:bCs/>
          <w:lang w:eastAsia="uk-UA"/>
        </w:rPr>
        <w:t>«Моделі і методи прийняття рішень для аналізу і планування матеріальних потоків у системах медичної логістики»</w:t>
      </w:r>
      <w:r>
        <w:rPr>
          <w:rFonts w:eastAsia="Times New Roman"/>
          <w:lang w:eastAsia="uk-UA"/>
        </w:rPr>
        <w:t xml:space="preserve">, подану до захисту в разову спеціалізовану раду на здобуття наукового ступеня доктора філософії </w:t>
      </w:r>
      <w:r>
        <w:t>з галузі знань 12 Інформаційні технології за спеціальністю 124 Системний аналіз.</w:t>
      </w:r>
    </w:p>
    <w:p w14:paraId="71BAEDB6">
      <w:pPr>
        <w:pStyle w:val="35"/>
        <w:rPr>
          <w:rFonts w:ascii="Times New Roman" w:hAnsi="Times New Roman" w:cs="Times New Roman"/>
        </w:rPr>
      </w:pPr>
    </w:p>
    <w:p w14:paraId="1D30F0D8">
      <w:pPr>
        <w:pStyle w:val="36"/>
      </w:pPr>
      <w:r>
        <w:t>Актуальність теми дисертації</w:t>
      </w:r>
    </w:p>
    <w:p w14:paraId="340EEF79">
      <w:pPr>
        <w:spacing w:line="264" w:lineRule="auto"/>
        <w:ind w:firstLine="709"/>
        <w:rPr>
          <w:color w:val="000000" w:themeColor="text1"/>
          <w14:textFill>
            <w14:solidFill>
              <w14:schemeClr w14:val="tx1"/>
            </w14:solidFill>
          </w14:textFill>
        </w:rPr>
      </w:pPr>
      <w:r>
        <w:rPr>
          <w:color w:val="000000" w:themeColor="text1"/>
          <w14:textFill>
            <w14:solidFill>
              <w14:schemeClr w14:val="tx1"/>
            </w14:solidFill>
          </w14:textFill>
        </w:rPr>
        <w:t>Застосування логістичних підходів відіграють визначальну роль в оптимізації систем управління матеріальними потоками та розміщення центрів їх переробки, підвищенні ефективності постачання, зберігання, транспортування та розподілу ресурсів. Складність задач оптимізації логістичної інфраструктури зумовлюється значною кількістю кінцевих споживачів на різних рівнях, а також наявністю багаторівневих взаємопов’язаних ланцюгів постачання. Раціональне розв’язання таких проблем можливе шляхом їх формалізації у вигляді багатоетапних транспортно-логістичних задач розміщення та розподілу, що належать до класу NP-складних і потребують застосування сучасних методів оптимізації. Особливої уваги ці питання набувають у сфері логістичного забезпечення системи охорони здоров’я, де ефективність управління матеріальними потоками безпосередньо впливає на доступність і якість медичних послуг та на оперативність реагування на зростання попиту. У зв’язку з цим розробка нових моделей і методів прийняття рішень для аналізу та планування матеріальних потоків у системах логістичного забезпечення української системи охорони лікарськими препаратами та товарами медичного призначення є доцільним та своєчасним напрямом наукових досліджень.</w:t>
      </w:r>
    </w:p>
    <w:p w14:paraId="1A82D286">
      <w:pPr>
        <w:pStyle w:val="36"/>
        <w:spacing w:before="240" w:line="288" w:lineRule="auto"/>
      </w:pPr>
      <w:r>
        <w:t>Аналіз змісту дисертаційної роботи</w:t>
      </w:r>
    </w:p>
    <w:p w14:paraId="658E9B62">
      <w:pPr>
        <w:spacing w:line="264" w:lineRule="auto"/>
        <w:ind w:firstLine="709"/>
        <w:rPr>
          <w:color w:val="000000" w:themeColor="text1"/>
          <w14:textFill>
            <w14:solidFill>
              <w14:schemeClr w14:val="tx1"/>
            </w14:solidFill>
          </w14:textFill>
        </w:rPr>
      </w:pPr>
      <w:r>
        <w:rPr>
          <w:color w:val="000000" w:themeColor="text1"/>
          <w14:textFill>
            <w14:solidFill>
              <w14:schemeClr w14:val="tx1"/>
            </w14:solidFill>
          </w14:textFill>
        </w:rPr>
        <w:t>Дисертаційна робота написана державною мовою, має загальний обсяг 201 сторінку, і складається з анотації українською та англійською мовами, вступу, п’ятьох розділів, загального висновку, списку використаних джерел з 147 найменувань і додатків.</w:t>
      </w:r>
    </w:p>
    <w:p w14:paraId="2AEBFDAE">
      <w:pPr>
        <w:spacing w:line="264" w:lineRule="auto"/>
        <w:ind w:firstLine="709"/>
        <w:rPr>
          <w:color w:val="000000" w:themeColor="text1"/>
          <w14:textFill>
            <w14:solidFill>
              <w14:schemeClr w14:val="tx1"/>
            </w14:solidFill>
          </w14:textFill>
        </w:rPr>
      </w:pPr>
      <w:r>
        <w:rPr>
          <w:color w:val="000000" w:themeColor="text1"/>
          <w14:textFill>
            <w14:solidFill>
              <w14:schemeClr w14:val="tx1"/>
            </w14:solidFill>
          </w14:textFill>
        </w:rPr>
        <w:t>Стиль подання матеріалів дослідження є структурованим і послідовним.</w:t>
      </w:r>
      <w:r>
        <w:t xml:space="preserve"> </w:t>
      </w:r>
      <w:r>
        <w:rPr>
          <w:color w:val="000000" w:themeColor="text1"/>
          <w14:textFill>
            <w14:solidFill>
              <w14:schemeClr w14:val="tx1"/>
            </w14:solidFill>
          </w14:textFill>
        </w:rPr>
        <w:t>Результати дослідження подано у формі таблиць та ілюстративних матеріалів, що полегшує їх сприйняття. Загальна структура та логіка викладу дисертаційної роботи свідчать про належний рівень наукової підготовки здобувача та його здатність чітко формулювати й обґрунтовувати наукові положення.</w:t>
      </w:r>
    </w:p>
    <w:p w14:paraId="753BE004">
      <w:pPr>
        <w:spacing w:line="264" w:lineRule="auto"/>
        <w:ind w:firstLine="709"/>
      </w:pPr>
      <w:r>
        <w:t xml:space="preserve">У </w:t>
      </w:r>
      <w:r>
        <w:rPr>
          <w:i/>
          <w:iCs/>
        </w:rPr>
        <w:t>Вступі</w:t>
      </w:r>
      <w:r>
        <w:t xml:space="preserve"> дисертаційної роботи здобувачем висвітлена актуальність роботи, наведена інформація про зв’язок роботи з науковими темами, зазначені мета, завдання, об’єкт, предмет та методи дослідження. На доданок до цього, наведені нові наукові положення, що виносяться на захист та практичне значення отриманих результатів. </w:t>
      </w:r>
    </w:p>
    <w:p w14:paraId="6E5EE434">
      <w:pPr>
        <w:spacing w:line="264" w:lineRule="auto"/>
        <w:ind w:firstLine="709"/>
        <w:rPr>
          <w:color w:val="000000" w:themeColor="text1"/>
          <w14:textFill>
            <w14:solidFill>
              <w14:schemeClr w14:val="tx1"/>
            </w14:solidFill>
          </w14:textFill>
        </w:rPr>
      </w:pPr>
      <w:r>
        <w:t xml:space="preserve">У першому розділі </w:t>
      </w:r>
      <w:r>
        <w:rPr>
          <w:i/>
          <w:iCs/>
        </w:rPr>
        <w:t>«</w:t>
      </w:r>
      <w:r>
        <w:rPr>
          <w:i/>
          <w:iCs/>
          <w:color w:val="000000" w:themeColor="text1"/>
          <w14:textFill>
            <w14:solidFill>
              <w14:schemeClr w14:val="tx1"/>
            </w14:solidFill>
          </w14:textFill>
        </w:rPr>
        <w:t>Аналіз та аналітичний огляд предметної област</w:t>
      </w:r>
      <w:r>
        <w:rPr>
          <w:i/>
          <w:iCs/>
        </w:rPr>
        <w:t>і</w:t>
      </w:r>
      <w:r>
        <w:rPr>
          <w:i/>
          <w:iCs/>
          <w:caps/>
          <w:color w:val="000000" w:themeColor="text1"/>
          <w14:textFill>
            <w14:solidFill>
              <w14:schemeClr w14:val="tx1"/>
            </w14:solidFill>
          </w14:textFill>
        </w:rPr>
        <w:t xml:space="preserve">» </w:t>
      </w:r>
      <w:r>
        <w:rPr>
          <w:color w:val="000000" w:themeColor="text1"/>
          <w14:textFill>
            <w14:solidFill>
              <w14:schemeClr w14:val="tx1"/>
            </w14:solidFill>
          </w14:textFill>
        </w:rPr>
        <w:t>досліджено сучасні підходи до розв’язання транспортно-логістичних проблем з оглядом на предметну область застосування. Для цього автором розглянуто та проаналізовано сучасні підходи до розв’язання задач розміщення та активації. Розглянуто загальні математичні постановки практичних задач, що можуть бути зведені до багатоетапних задач розміщення, запропоновано класифікацію методів та підходів до розв’язання задач цього типу.</w:t>
      </w:r>
    </w:p>
    <w:p w14:paraId="5B5A23DA">
      <w:pPr>
        <w:spacing w:line="264" w:lineRule="auto"/>
        <w:ind w:firstLine="709"/>
        <w:rPr>
          <w:color w:val="000000" w:themeColor="text1"/>
          <w14:textFill>
            <w14:solidFill>
              <w14:schemeClr w14:val="tx1"/>
            </w14:solidFill>
          </w14:textFill>
        </w:rPr>
      </w:pPr>
      <w:r>
        <w:rPr>
          <w:color w:val="000000" w:themeColor="text1"/>
          <w14:textFill>
            <w14:solidFill>
              <w14:schemeClr w14:val="tx1"/>
            </w14:solidFill>
          </w14:textFill>
        </w:rPr>
        <w:t xml:space="preserve">У другому </w:t>
      </w:r>
      <w:r>
        <w:t xml:space="preserve">розділі </w:t>
      </w:r>
      <w:r>
        <w:rPr>
          <w:i/>
          <w:iCs/>
        </w:rPr>
        <w:t>«</w:t>
      </w:r>
      <w:r>
        <w:rPr>
          <w:i/>
          <w:iCs/>
          <w:color w:val="000000" w:themeColor="text1"/>
          <w14:textFill>
            <w14:solidFill>
              <w14:schemeClr w14:val="tx1"/>
            </w14:solidFill>
          </w14:textFill>
        </w:rPr>
        <w:t>Системний аналіз розподільчих процесів медичної логістики та постановка проблеми її масштабування»</w:t>
      </w:r>
      <w:r>
        <w:rPr>
          <w:color w:val="000000" w:themeColor="text1"/>
          <w14:textFill>
            <w14:solidFill>
              <w14:schemeClr w14:val="tx1"/>
            </w14:solidFill>
          </w14:textFill>
        </w:rPr>
        <w:t xml:space="preserve"> виконано системний аналіз процесів розподілу в медичній логістиці. Досліджено функціонування системи медичної логістики регіонального рівня в Україні. Проаналізовано процеси постачання медичних ресурсів, механізми взаємодії між закладами охорони здоров’я та підходи до управління запасами. Виокремлено ключові проблемні аспекти, що проявляються в умовах кризових ситуацій. На цій основі сформульовано проблему масштабування системи медичної логістики.</w:t>
      </w:r>
    </w:p>
    <w:p w14:paraId="0B1FC153">
      <w:pPr>
        <w:spacing w:line="264" w:lineRule="auto"/>
        <w:ind w:firstLine="709"/>
        <w:rPr>
          <w:color w:val="000000" w:themeColor="text1"/>
          <w14:textFill>
            <w14:solidFill>
              <w14:schemeClr w14:val="tx1"/>
            </w14:solidFill>
          </w14:textFill>
        </w:rPr>
      </w:pPr>
      <w:r>
        <w:rPr>
          <w:color w:val="000000" w:themeColor="text1"/>
          <w14:textFill>
            <w14:solidFill>
              <w14:schemeClr w14:val="tx1"/>
            </w14:solidFill>
          </w14:textFill>
        </w:rPr>
        <w:t xml:space="preserve">У третьому </w:t>
      </w:r>
      <w:r>
        <w:t xml:space="preserve">розділі </w:t>
      </w:r>
      <w:r>
        <w:rPr>
          <w:i/>
          <w:iCs/>
        </w:rPr>
        <w:t>«</w:t>
      </w:r>
      <w:r>
        <w:rPr>
          <w:i/>
          <w:iCs/>
          <w:color w:val="000000" w:themeColor="text1"/>
          <w14:textFill>
            <w14:solidFill>
              <w14:schemeClr w14:val="tx1"/>
            </w14:solidFill>
          </w14:textFill>
        </w:rPr>
        <w:t>Розробка математичних моделей багатоетапних неперервно-дискретних задач розміщення-активації»</w:t>
      </w:r>
      <w:r>
        <w:rPr>
          <w:color w:val="000000" w:themeColor="text1"/>
          <w14:textFill>
            <w14:solidFill>
              <w14:schemeClr w14:val="tx1"/>
            </w14:solidFill>
          </w14:textFill>
        </w:rPr>
        <w:t xml:space="preserve"> автором розроблено класифікацію багатоетапних неперервно-дискретних задачам розміщення-активації. Здобувачем запропоновано нові математичні моделі багатоетапних процесів розподілу ліків та виробів медичного призначення у вигляді неперервно-дискретних задач розміщення-активації. </w:t>
      </w:r>
    </w:p>
    <w:p w14:paraId="72EB73FA">
      <w:pPr>
        <w:spacing w:line="264" w:lineRule="auto"/>
        <w:ind w:firstLine="709"/>
        <w:rPr>
          <w:color w:val="000000" w:themeColor="text1"/>
          <w14:textFill>
            <w14:solidFill>
              <w14:schemeClr w14:val="tx1"/>
            </w14:solidFill>
          </w14:textFill>
        </w:rPr>
      </w:pPr>
      <w:r>
        <w:t xml:space="preserve">У четвертому розділі </w:t>
      </w:r>
      <w:r>
        <w:rPr>
          <w:i/>
          <w:iCs/>
        </w:rPr>
        <w:t>«</w:t>
      </w:r>
      <w:r>
        <w:rPr>
          <w:i/>
          <w:iCs/>
          <w:color w:val="000000" w:themeColor="text1"/>
          <w14:textFill>
            <w14:solidFill>
              <w14:schemeClr w14:val="tx1"/>
            </w14:solidFill>
          </w14:textFill>
        </w:rPr>
        <w:t xml:space="preserve">Розробка методів та алгоритмів розвʼязання багатоетапних неперервно-дискретних задач розміщення-активації» </w:t>
      </w:r>
      <w:r>
        <w:rPr>
          <w:color w:val="000000" w:themeColor="text1"/>
          <w14:textFill>
            <w14:solidFill>
              <w14:schemeClr w14:val="tx1"/>
            </w14:solidFill>
          </w14:textFill>
        </w:rPr>
        <w:t>розроблено комбінований підхід до розв’язання неперервно-дискретних задач розміщення-активації заснований на еволюційних алгоритмах і використанні методів оптимального розбиття множин. Запропоновано два підходи до розв’язання: у першому випадку</w:t>
      </w:r>
      <w:r>
        <w:t xml:space="preserve"> </w:t>
      </w:r>
      <w:r>
        <w:rPr>
          <w:color w:val="000000" w:themeColor="text1"/>
          <w14:textFill>
            <w14:solidFill>
              <w14:schemeClr w14:val="tx1"/>
            </w14:solidFill>
          </w14:textFill>
        </w:rPr>
        <w:t xml:space="preserve">спочатку визначаються розміщення центрів дистрибуції та їх зони обслуговування, після чого розв’язується дискретна задача активації за відомих координат центрів; другий підхід базується на зміненій процедурі оцінювання в генетичному алгоритмі, що забезпечує визначення координат центрів дистрибуції та зон їх обслуговування з урахуванням активованих субрегіональних центрів. На доданок до цього, проведено порівняння запропонованих підходів та виявлено, що перший підхід суттєво знижує середнє значення цільової функції (до 13,5%), але потребує більше часу. </w:t>
      </w:r>
    </w:p>
    <w:p w14:paraId="3F34730F">
      <w:pPr>
        <w:spacing w:line="264" w:lineRule="auto"/>
        <w:ind w:firstLine="709"/>
      </w:pPr>
      <w:r>
        <w:t xml:space="preserve">У п’ятому розділі </w:t>
      </w:r>
      <w:r>
        <w:rPr>
          <w:i/>
          <w:iCs/>
        </w:rPr>
        <w:t xml:space="preserve">«Експериментальне дослідження та аналіз результатів. розв’язання задач на модельних та реальних даних» </w:t>
      </w:r>
      <w:r>
        <w:t>удосконалено еволюційні підходи до розв’язання багатоетапних задач розміщення-активації шляхом експериментального аналізу параметрів генетичного алгоритму та формування практичних рекомендацій щодо його налаштування. Досліджено вплив розмірності моделі на обчислювальні характеристики алгоритму та оцінено його часову складність. На основі запропонованих моделей і програмної реалізації виконано розв’язання багатоетапних дискретних і неперервно-дискретних задач медичної логістики з використанням реальних даних, що підтверджує практичну придатність запропонованих підходів.</w:t>
      </w:r>
    </w:p>
    <w:p w14:paraId="1A11321F">
      <w:pPr>
        <w:spacing w:line="264" w:lineRule="auto"/>
        <w:ind w:firstLine="709"/>
        <w:rPr>
          <w:color w:val="000000" w:themeColor="text1"/>
          <w14:textFill>
            <w14:solidFill>
              <w14:schemeClr w14:val="tx1"/>
            </w14:solidFill>
          </w14:textFill>
        </w:rPr>
      </w:pPr>
      <w:r>
        <w:rPr>
          <w:color w:val="000000" w:themeColor="text1"/>
          <w14:textFill>
            <w14:solidFill>
              <w14:schemeClr w14:val="tx1"/>
            </w14:solidFill>
          </w14:textFill>
        </w:rPr>
        <w:t>Загальний висновок по роботі є послідовним та аргументованим й сформований на основі аналізу теоретичних положень, математичних моделей і результатів обчислювальних експериментів.</w:t>
      </w:r>
    </w:p>
    <w:p w14:paraId="4B75806D">
      <w:pPr>
        <w:spacing w:line="264" w:lineRule="auto"/>
        <w:ind w:firstLine="709"/>
        <w:rPr>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Додаткові матеріали містять акти впровадження результатів дисертаційної роботи: у закладі охорони здоров’я регіонального рівня Дніпропетровської області; у </w:t>
      </w:r>
      <w:r>
        <w:rPr>
          <w:color w:val="000000" w:themeColor="text1"/>
          <w:szCs w:val="20"/>
          <w:lang w:eastAsia="zh-CN"/>
          <w14:textFill>
            <w14:solidFill>
              <w14:schemeClr w14:val="tx1"/>
            </w14:solidFill>
          </w14:textFill>
        </w:rPr>
        <w:t xml:space="preserve">Придніпровському науковому центрі, в навчальному процесі на кафедрі системного аналізу та управління НТУ «Дніпровська політехніка». </w:t>
      </w:r>
    </w:p>
    <w:p w14:paraId="2AAE6D19">
      <w:pPr>
        <w:spacing w:line="288" w:lineRule="auto"/>
        <w:ind w:firstLine="0"/>
        <w:rPr>
          <w:color w:val="000000" w:themeColor="text1"/>
          <w14:textFill>
            <w14:solidFill>
              <w14:schemeClr w14:val="tx1"/>
            </w14:solidFill>
          </w14:textFill>
        </w:rPr>
      </w:pPr>
    </w:p>
    <w:p w14:paraId="18B47136">
      <w:pPr>
        <w:pStyle w:val="36"/>
        <w:spacing w:after="0" w:line="288" w:lineRule="auto"/>
      </w:pPr>
      <w:r>
        <w:t>Обґрунтованість і достовірність наукових положень, висновків і рекомендацій дисертаційного дослідження</w:t>
      </w:r>
    </w:p>
    <w:p w14:paraId="24B1D0EC">
      <w:pPr>
        <w:spacing w:line="264" w:lineRule="auto"/>
        <w:ind w:firstLine="709"/>
      </w:pPr>
      <w:r>
        <w:t xml:space="preserve">Наукові положення, висновки та рекомендації, наведені в дисертаційній роботі, є належним чином обґрунтованими з теоретичної та методологічної точок зору й підтверджуються результатами проведених досліджень. Отримані наукові результати ґрунтуються на застосуванні сучасних фундаментальних теоретико-методичних підходів у поєднанні з експериментальними дослідженнями, що забезпечує їх достовірність. Адекватність запропонованих автором моделей і підходів підтверджується даними обчислювальних експериментів, зокрема на модельних задачах різних розмірів, а також </w:t>
      </w:r>
      <w:r>
        <w:rPr>
          <w:color w:val="000000" w:themeColor="text1"/>
          <w14:textFill>
            <w14:solidFill>
              <w14:schemeClr w14:val="tx1"/>
            </w14:solidFill>
          </w14:textFill>
        </w:rPr>
        <w:t>актами впровадження результатів дисертаційної роботи</w:t>
      </w:r>
      <w:r>
        <w:t xml:space="preserve"> із розв’язання практичних задач регіонального рівня. Загалом наведені результати та сформульовані висновки є логічно узгодженими й не викликають зауважень щодо їх достовірності.</w:t>
      </w:r>
    </w:p>
    <w:p w14:paraId="79E48DCE">
      <w:pPr>
        <w:pStyle w:val="36"/>
        <w:spacing w:before="120" w:after="0" w:line="288" w:lineRule="auto"/>
      </w:pPr>
      <w:r>
        <w:t>Наукова новизна представлених теоретичних та</w:t>
      </w:r>
    </w:p>
    <w:p w14:paraId="01C5DF17">
      <w:pPr>
        <w:pStyle w:val="36"/>
      </w:pPr>
      <w:r>
        <w:t>експериментальних результатів</w:t>
      </w:r>
    </w:p>
    <w:p w14:paraId="30B542FC">
      <w:pPr>
        <w:spacing w:line="264" w:lineRule="auto"/>
        <w:ind w:firstLine="709"/>
      </w:pPr>
      <w:r>
        <w:t>Наукова новизна дисертаційної роботи полягає у розробці нових математичних моделей багатоетапних процесів розподілу лікарських препаратів та товарів медичного призначення у вигляді неперервно-дискретних задач розміщення-активації. У роботі запропоновано комбінований підхід до розв’язання неперервно-дискретних задач розміщення-активації, який базується на поєднанні еволюційних алгоритмів із методами оптимального розбиття множин. Подальшого розвитку набули підходи до комп’ютерного моделювання багатоетапних логістичних процесів шляхом інтеграції геоінформаційних систем із програмною реалізацією алгоритмів розв’язання задач розміщення-активації. Запропоновані моделі та підходи розширюють клас багатоетапних задач розміщення-розподілу за рахунок включення неперервно-дискретних моделей та сприяють удосконаленню процесів прийняття управлінських рішень у системах медичної логістики.</w:t>
      </w:r>
    </w:p>
    <w:p w14:paraId="739E826E"/>
    <w:p w14:paraId="1F4EEA37">
      <w:pPr>
        <w:pStyle w:val="36"/>
        <w:spacing w:before="120" w:line="288" w:lineRule="auto"/>
      </w:pPr>
      <w:r>
        <w:t xml:space="preserve">Практичне значення отриманих результатів </w:t>
      </w:r>
    </w:p>
    <w:p w14:paraId="65D4D0A4">
      <w:pPr>
        <w:spacing w:line="264" w:lineRule="auto"/>
        <w:ind w:firstLine="709"/>
      </w:pPr>
      <w:r>
        <w:t>Практичне значення одержаних результатів полягає у можливості їх використання для підвищення ефективності функціонування та масштабування інфраструктури систем медичної логістики, зокрема в умовах кризових ситуацій. Запропоновані моделі й методи можуть бути застосовані для розв’язання багатоетапних неперервно-дискретних задач розміщення-активації з визначенням зон обслуговування центрів у різних сферах діяльності, зокрема в сільському господарстві, видобувній та гірничо-металургійній промисловості. Практична реалізація отриманих результатів здійснена у вигляді програмного забезпечення, призначеного для розв’язання зазначених задач і візуалізації результатів на географічній мапі.</w:t>
      </w:r>
    </w:p>
    <w:p w14:paraId="49394208">
      <w:pPr>
        <w:pStyle w:val="36"/>
      </w:pPr>
    </w:p>
    <w:p w14:paraId="0AFDF54F">
      <w:pPr>
        <w:pStyle w:val="36"/>
        <w:spacing w:line="288" w:lineRule="auto"/>
      </w:pPr>
      <w:r>
        <w:t>Повнота викладу результатів дисертації в опублікованих працях</w:t>
      </w:r>
    </w:p>
    <w:p w14:paraId="00615ECD">
      <w:pPr>
        <w:spacing w:line="264" w:lineRule="auto"/>
        <w:ind w:firstLine="709"/>
        <w:rPr>
          <w:color w:val="000000" w:themeColor="text1"/>
          <w14:textFill>
            <w14:solidFill>
              <w14:schemeClr w14:val="tx1"/>
            </w14:solidFill>
          </w14:textFill>
        </w:rPr>
      </w:pPr>
      <w:r>
        <w:t xml:space="preserve">Результати дисертаційного дослідження достатньо повно відображені у публікаціях автора і включають п’ять статей у фахових виданнях України, одну статтю, що </w:t>
      </w:r>
      <w:r>
        <w:rPr>
          <w:color w:val="000000" w:themeColor="text1"/>
          <w14:textFill>
            <w14:solidFill>
              <w14:schemeClr w14:val="tx1"/>
            </w14:solidFill>
          </w14:textFill>
        </w:rPr>
        <w:t xml:space="preserve">включена до міжнародної науково метричної бази Web of Science, 13 матеріалів тез доповідей на конференціях та одне авторське свідоцтво на твір (комп'ютерна програма) «Multi-stage location-activation problem solver». </w:t>
      </w:r>
    </w:p>
    <w:p w14:paraId="0D53DC34">
      <w:pPr>
        <w:pStyle w:val="36"/>
        <w:spacing w:line="288" w:lineRule="auto"/>
      </w:pPr>
    </w:p>
    <w:p w14:paraId="0C96E79C">
      <w:pPr>
        <w:pStyle w:val="36"/>
        <w:spacing w:line="288" w:lineRule="auto"/>
      </w:pPr>
      <w:r>
        <w:t>Рівень володіння здобувачем методологією наукової діяльності</w:t>
      </w:r>
    </w:p>
    <w:p w14:paraId="3D3BE2BE">
      <w:pPr>
        <w:spacing w:line="288" w:lineRule="auto"/>
        <w:ind w:firstLine="709"/>
      </w:pPr>
      <w:r>
        <w:t>Під час виконання дисертаційної роботи дотримано повний цикл наукового дослідження, що охоплює формулювання мети й завдань, визначення об’єкта та предмета дослідження, вибір методів дослідження, обробку й аналіз даних та логічне висвітлення результатів.</w:t>
      </w:r>
    </w:p>
    <w:p w14:paraId="7FB99DC4">
      <w:pPr>
        <w:ind w:firstLine="0"/>
      </w:pPr>
    </w:p>
    <w:p w14:paraId="046BDE41">
      <w:pPr>
        <w:pStyle w:val="36"/>
      </w:pPr>
      <w:r>
        <w:t>Відповідність роботи вимогам, що ставляться до дисертацій</w:t>
      </w:r>
    </w:p>
    <w:p w14:paraId="05970CBD">
      <w:pPr>
        <w:spacing w:line="288" w:lineRule="auto"/>
        <w:ind w:firstLine="709"/>
      </w:pPr>
      <w:r>
        <w:t>Дисертаційна робота Сергєєва Олексія Сергійовича «Моделі і методи прийняття рішень для аналізу і планування матеріальних потоків у системах медичної логістики» відповідає вимогам, передбаченим наказом МОН України № 40 від 12.01.2017 р. «Про затвердження Вимог до оформлення дисертації» (із змінами)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 44 від 12 січня 2022 p. (із змінами).</w:t>
      </w:r>
    </w:p>
    <w:p w14:paraId="4444FA17">
      <w:pPr>
        <w:widowControl w:val="0"/>
        <w:autoSpaceDE w:val="0"/>
        <w:autoSpaceDN w:val="0"/>
        <w:spacing w:before="9" w:line="240" w:lineRule="auto"/>
        <w:rPr>
          <w:rFonts w:eastAsia="Times New Roman"/>
          <w:strike/>
          <w:color w:val="000000" w:themeColor="text1"/>
          <w14:textFill>
            <w14:solidFill>
              <w14:schemeClr w14:val="tx1"/>
            </w14:solidFill>
          </w14:textFill>
        </w:rPr>
      </w:pPr>
    </w:p>
    <w:p w14:paraId="5D57A506">
      <w:pPr>
        <w:pStyle w:val="36"/>
        <w:spacing w:line="288" w:lineRule="auto"/>
      </w:pPr>
      <w:r>
        <w:t>Зауваження та побажання до дисертаційної роботи</w:t>
      </w:r>
    </w:p>
    <w:p w14:paraId="6866D14F">
      <w:pPr>
        <w:pStyle w:val="36"/>
        <w:spacing w:after="0" w:line="288" w:lineRule="auto"/>
        <w:jc w:val="both"/>
        <w:rPr>
          <w:b w:val="0"/>
          <w:bCs w:val="0"/>
        </w:rPr>
      </w:pPr>
      <w:r>
        <w:rPr>
          <w:b w:val="0"/>
          <w:bCs w:val="0"/>
        </w:rPr>
        <w:t>1. До структурної схеми медичної логістики включено юридичну підсистему (рис. 2.5) із деякими невластивими функціями: замовлення, обробка вантажу, комп’ютерна підтримка, облік (табл. 2.2, стор. 71).</w:t>
      </w:r>
    </w:p>
    <w:p w14:paraId="42A01B35">
      <w:pPr>
        <w:pStyle w:val="36"/>
        <w:spacing w:after="0" w:line="288" w:lineRule="auto"/>
        <w:jc w:val="both"/>
        <w:rPr>
          <w:b w:val="0"/>
          <w:bCs w:val="0"/>
        </w:rPr>
      </w:pPr>
      <w:r>
        <w:rPr>
          <w:b w:val="0"/>
          <w:bCs w:val="0"/>
        </w:rPr>
        <w:t xml:space="preserve">2. В алгоритмі відкриття регіональних, субрегіональних та дистрибуційних центрів і організації перевезень ліків та виробів медичного призначення відповідальність регіональних центрів за побудову «плану транспортування» (п. 12 стор. 73) доцільно замінити на «план поставки». </w:t>
      </w:r>
    </w:p>
    <w:p w14:paraId="731A16DA">
      <w:pPr>
        <w:pStyle w:val="36"/>
        <w:spacing w:after="0" w:line="288" w:lineRule="auto"/>
        <w:jc w:val="both"/>
        <w:rPr>
          <w:b w:val="0"/>
          <w:bCs w:val="0"/>
        </w:rPr>
      </w:pPr>
      <w:r>
        <w:rPr>
          <w:b w:val="0"/>
          <w:bCs w:val="0"/>
        </w:rPr>
        <w:t>3. В постановці задач оптимізації не враховано критерій чисельності населення зони обслуговування, який є важливим для розрахунку попиту (задача (3.1) – (3.9) стор.86, 87).</w:t>
      </w:r>
    </w:p>
    <w:p w14:paraId="04A2A6F2">
      <w:pPr>
        <w:pStyle w:val="36"/>
        <w:spacing w:after="0" w:line="288" w:lineRule="auto"/>
        <w:jc w:val="both"/>
        <w:rPr>
          <w:b w:val="0"/>
          <w:bCs w:val="0"/>
        </w:rPr>
      </w:pPr>
      <w:r>
        <w:rPr>
          <w:b w:val="0"/>
          <w:bCs w:val="0"/>
        </w:rPr>
        <w:t>4. Для твердження «Точні методи розв’язання для таких задач можуть бути обчислювально неефективними коли кількість центрів є великою … доцільно застосовувати метаевристичні підходи …» (стор.89) в роботі не наведено обґрунтування та відповідних порівнянь.</w:t>
      </w:r>
    </w:p>
    <w:p w14:paraId="6A88783D">
      <w:pPr>
        <w:pStyle w:val="36"/>
        <w:spacing w:after="0" w:line="288" w:lineRule="auto"/>
        <w:jc w:val="both"/>
        <w:rPr>
          <w:b w:val="0"/>
          <w:bCs w:val="0"/>
        </w:rPr>
      </w:pPr>
      <w:r>
        <w:rPr>
          <w:b w:val="0"/>
          <w:bCs w:val="0"/>
        </w:rPr>
        <w:t>5. Викладення в різних розділах класифікації запропонованих моделей (роз. 3) та побудови їх розв’язків (розд.4) ускладнює системність подання розробленого підходу.</w:t>
      </w:r>
    </w:p>
    <w:p w14:paraId="6ADDCCC2">
      <w:pPr>
        <w:pStyle w:val="36"/>
        <w:spacing w:after="0" w:line="288" w:lineRule="auto"/>
        <w:jc w:val="both"/>
        <w:rPr>
          <w:b w:val="0"/>
          <w:bCs w:val="0"/>
        </w:rPr>
      </w:pPr>
      <w:r>
        <w:rPr>
          <w:b w:val="0"/>
          <w:bCs w:val="0"/>
        </w:rPr>
        <w:t>6. В алгоритмі 4.1. крок 1 для ініціалізації популяції не наведено структуру P(t), та вигляд функції оцінювання, а також сам алгоритм викладено у вербальній постановці (стор. 102).</w:t>
      </w:r>
    </w:p>
    <w:p w14:paraId="21CD4921">
      <w:pPr>
        <w:pStyle w:val="36"/>
        <w:spacing w:after="0" w:line="288" w:lineRule="auto"/>
        <w:jc w:val="both"/>
        <w:rPr>
          <w:b w:val="0"/>
          <w:bCs w:val="0"/>
        </w:rPr>
      </w:pPr>
      <w:r>
        <w:rPr>
          <w:b w:val="0"/>
          <w:bCs w:val="0"/>
        </w:rPr>
        <w:t>7. Не наведено алгоритм визначення необхідної кількості об’єктів логістичної інфраструктури та відповідних зон обслуговування (стор. 112).</w:t>
      </w:r>
    </w:p>
    <w:p w14:paraId="77F27CAA">
      <w:pPr>
        <w:pStyle w:val="36"/>
        <w:spacing w:after="0" w:line="288" w:lineRule="auto"/>
        <w:jc w:val="both"/>
        <w:rPr>
          <w:b w:val="0"/>
          <w:bCs w:val="0"/>
        </w:rPr>
      </w:pPr>
      <w:r>
        <w:rPr>
          <w:b w:val="0"/>
          <w:bCs w:val="0"/>
        </w:rPr>
        <w:t xml:space="preserve">8. В наведених результатах комп’ютерного експерименту не вказано в яких одиницях розраховано значення цільового функціоналу (рис. 4.11. стор.114), аналогічно для цільової функції ефективного розв’язку практичної задачі – 5060175,46 (стор.167). </w:t>
      </w:r>
    </w:p>
    <w:p w14:paraId="1E2E5711">
      <w:pPr>
        <w:pStyle w:val="36"/>
        <w:spacing w:after="0" w:line="288" w:lineRule="auto"/>
        <w:jc w:val="both"/>
        <w:rPr>
          <w:b w:val="0"/>
          <w:bCs w:val="0"/>
        </w:rPr>
      </w:pPr>
      <w:r>
        <w:rPr>
          <w:b w:val="0"/>
          <w:bCs w:val="0"/>
        </w:rPr>
        <w:t xml:space="preserve">9. Результати проведених порівнянь ефективності роботи запропонованих алгоритмів за часом виконання не являються визначальним для її практичної значимості. </w:t>
      </w:r>
    </w:p>
    <w:p w14:paraId="43F30DDE">
      <w:pPr>
        <w:ind w:firstLine="709"/>
      </w:pPr>
      <w:r>
        <w:t>Висловлені зауваження по роботі не впливають на її загальну позитивну оцінку, не зменшують теоретичної та практичної значущості результатів дисертаційної роботи яка представляє собою завершене наукове дослідження за актуальною тематикою.</w:t>
      </w:r>
    </w:p>
    <w:p w14:paraId="6A7858BA">
      <w:pPr>
        <w:widowControl w:val="0"/>
        <w:autoSpaceDE w:val="0"/>
        <w:autoSpaceDN w:val="0"/>
        <w:spacing w:before="9" w:line="240" w:lineRule="auto"/>
        <w:rPr>
          <w:rFonts w:eastAsia="Times New Roman"/>
          <w:strike/>
          <w:color w:val="000000" w:themeColor="text1"/>
          <w14:textFill>
            <w14:solidFill>
              <w14:schemeClr w14:val="tx1"/>
            </w14:solidFill>
          </w14:textFill>
        </w:rPr>
      </w:pPr>
    </w:p>
    <w:p w14:paraId="44F1331E">
      <w:pPr>
        <w:pStyle w:val="36"/>
      </w:pPr>
      <w:r>
        <w:t>Загальний висновок</w:t>
      </w:r>
    </w:p>
    <w:p w14:paraId="4D2964AF">
      <w:pPr>
        <w:rPr>
          <w:lang w:eastAsia="uk-UA"/>
        </w:rPr>
      </w:pPr>
      <w:r>
        <w:t xml:space="preserve">В цілому дисертаційна робота </w:t>
      </w:r>
      <w:r>
        <w:rPr>
          <w:lang w:eastAsia="uk-UA"/>
        </w:rPr>
        <w:t>«Моделі і методи прийняття рішень для аналізу і планування матеріальних потоків у системах медичної логістики» є завершеною і самостійною науковою працею. Обрана тема дослідження є актуальною, а отримані наукові результати характеризуються науковою новизною та обґрунтованістю, мають теоретичне і практичне значення, належним чином висвітлені в наукових публікаціях та апробовані на всеукраїнських і міжнародних науково-практичних конференціях.</w:t>
      </w:r>
    </w:p>
    <w:p w14:paraId="673B2031">
      <w:r>
        <w:t xml:space="preserve">Вважаю, що робота відповідає змісту та компетентностям освітньо-наукової програми доктора філософії, за якою навчався здобувач, і вимогам </w:t>
      </w:r>
      <w:r>
        <w:rPr>
          <w:lang w:eastAsia="uk-UA"/>
        </w:rPr>
        <w:t xml:space="preserve">«Порядку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 44 від 12 січня 2022 p. (із змінами, внесеними згідно з Постановою Кабінету Міністрів України № 502 від 19.05.2023 р. і №507 від 03.05.2024 р.), а її автор </w:t>
      </w:r>
      <w:r>
        <w:t xml:space="preserve">Сергєєв Олексій Сергійович заслуговує на присудження наукового ступеня доктора філософії у галузі 12 Інформаційні технології за спеціальністю 124 Системний аналіз. </w:t>
      </w:r>
    </w:p>
    <w:p w14:paraId="1195ED9C">
      <w:pPr>
        <w:ind w:firstLine="0"/>
        <w:rPr>
          <w:sz w:val="24"/>
          <w:szCs w:val="24"/>
        </w:rPr>
      </w:pPr>
    </w:p>
    <w:p w14:paraId="29694879">
      <w:pPr>
        <w:widowControl w:val="0"/>
        <w:autoSpaceDE w:val="0"/>
        <w:autoSpaceDN w:val="0"/>
        <w:spacing w:before="1" w:line="240" w:lineRule="auto"/>
        <w:ind w:left="177"/>
        <w:outlineLvl w:val="0"/>
        <w:rPr>
          <w:rFonts w:eastAsia="Times New Roman"/>
          <w:b/>
          <w:bCs/>
          <w:color w:val="000000" w:themeColor="text1"/>
          <w14:textFill>
            <w14:solidFill>
              <w14:schemeClr w14:val="tx1"/>
            </w14:solidFill>
          </w14:textFill>
        </w:rPr>
      </w:pPr>
    </w:p>
    <w:p w14:paraId="01892A65">
      <w:pPr>
        <w:widowControl w:val="0"/>
        <w:autoSpaceDE w:val="0"/>
        <w:autoSpaceDN w:val="0"/>
        <w:spacing w:before="1" w:line="240" w:lineRule="auto"/>
        <w:ind w:left="177"/>
        <w:outlineLvl w:val="0"/>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Офіційний опонент:</w:t>
      </w:r>
    </w:p>
    <w:p w14:paraId="73147393">
      <w:pPr>
        <w:widowControl w:val="0"/>
        <w:tabs>
          <w:tab w:val="left" w:pos="4395"/>
        </w:tabs>
        <w:autoSpaceDE w:val="0"/>
        <w:autoSpaceDN w:val="0"/>
        <w:spacing w:before="2" w:line="240" w:lineRule="auto"/>
        <w:ind w:left="177" w:right="4960"/>
        <w:rPr>
          <w:rFonts w:eastAsia="Times New Roman"/>
          <w:sz w:val="24"/>
          <w:szCs w:val="24"/>
        </w:rPr>
      </w:pPr>
    </w:p>
    <w:p w14:paraId="66E497C2">
      <w:pPr>
        <w:widowControl w:val="0"/>
        <w:tabs>
          <w:tab w:val="left" w:pos="4395"/>
        </w:tabs>
        <w:autoSpaceDE w:val="0"/>
        <w:autoSpaceDN w:val="0"/>
        <w:spacing w:before="2"/>
        <w:ind w:left="176" w:right="3969" w:firstLine="0"/>
        <w:jc w:val="left"/>
        <w:rPr>
          <w:rFonts w:eastAsia="Times New Roman"/>
          <w:lang w:val="ru-RU"/>
        </w:rPr>
      </w:pPr>
      <w:r>
        <w:rPr>
          <w:rFonts w:eastAsia="Times New Roman"/>
        </w:rPr>
        <w:t>професор кафедри математичного моделювання та системного аналізу Дніпровського державного технічного університету, доктор фізико-математичних наук, професор</w:t>
      </w:r>
      <w:r>
        <w:rPr>
          <w:rFonts w:eastAsia="Times New Roman"/>
          <w:lang w:val="ru-RU"/>
        </w:rPr>
        <w:t xml:space="preserve"> </w:t>
      </w:r>
    </w:p>
    <w:p w14:paraId="69A868C7">
      <w:pPr>
        <w:widowControl w:val="0"/>
        <w:tabs>
          <w:tab w:val="left" w:pos="4395"/>
        </w:tabs>
        <w:autoSpaceDE w:val="0"/>
        <w:autoSpaceDN w:val="0"/>
        <w:spacing w:line="240" w:lineRule="auto"/>
        <w:ind w:left="176" w:firstLine="0"/>
        <w:jc w:val="left"/>
        <w:rPr>
          <w:b/>
          <w:bCs/>
          <w:color w:val="156082" w:themeColor="accent1"/>
          <w14:textFill>
            <w14:solidFill>
              <w14:schemeClr w14:val="accent1"/>
            </w14:solidFill>
          </w14:textFill>
        </w:rPr>
      </w:pPr>
      <w:r>
        <w:rPr>
          <w:rFonts w:eastAsia="Times New Roman"/>
          <w:lang w:val="ru-RU"/>
        </w:rPr>
        <w:t xml:space="preserve">                                                                                     </w:t>
      </w:r>
      <w:r>
        <w:rPr>
          <w:b/>
          <w:bCs/>
          <w:iCs/>
        </w:rPr>
        <w:t>Анатолій ПАСІЧНИК</w:t>
      </w:r>
    </w:p>
    <w:sectPr>
      <w:pgSz w:w="11906" w:h="16838"/>
      <w:pgMar w:top="1021" w:right="964" w:bottom="1134" w:left="153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altName w:val="Yu Gothic"/>
    <w:panose1 w:val="020B0604020202020204"/>
    <w:charset w:val="80"/>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AD"/>
    <w:rsid w:val="00003F4F"/>
    <w:rsid w:val="00006F1D"/>
    <w:rsid w:val="00041DE9"/>
    <w:rsid w:val="00043667"/>
    <w:rsid w:val="000639DC"/>
    <w:rsid w:val="00082F3D"/>
    <w:rsid w:val="000831A4"/>
    <w:rsid w:val="00095F4F"/>
    <w:rsid w:val="000A4FD3"/>
    <w:rsid w:val="000B1668"/>
    <w:rsid w:val="000B4705"/>
    <w:rsid w:val="000E28A5"/>
    <w:rsid w:val="000E32A8"/>
    <w:rsid w:val="00107B20"/>
    <w:rsid w:val="00124B09"/>
    <w:rsid w:val="001277DB"/>
    <w:rsid w:val="001351F7"/>
    <w:rsid w:val="001554AB"/>
    <w:rsid w:val="001702EA"/>
    <w:rsid w:val="0018504F"/>
    <w:rsid w:val="001A4332"/>
    <w:rsid w:val="001E4313"/>
    <w:rsid w:val="002349A8"/>
    <w:rsid w:val="0024688A"/>
    <w:rsid w:val="00250016"/>
    <w:rsid w:val="002506D4"/>
    <w:rsid w:val="00256F76"/>
    <w:rsid w:val="002961AD"/>
    <w:rsid w:val="002E0441"/>
    <w:rsid w:val="002E0F7E"/>
    <w:rsid w:val="002E326E"/>
    <w:rsid w:val="002E3505"/>
    <w:rsid w:val="002E6F0C"/>
    <w:rsid w:val="002F0193"/>
    <w:rsid w:val="00302BAB"/>
    <w:rsid w:val="003076EB"/>
    <w:rsid w:val="003232B0"/>
    <w:rsid w:val="00325623"/>
    <w:rsid w:val="00355D2A"/>
    <w:rsid w:val="00356334"/>
    <w:rsid w:val="00393B41"/>
    <w:rsid w:val="003A45C3"/>
    <w:rsid w:val="003A7870"/>
    <w:rsid w:val="003B5CC5"/>
    <w:rsid w:val="003E7012"/>
    <w:rsid w:val="003F73E2"/>
    <w:rsid w:val="00426537"/>
    <w:rsid w:val="00426A7C"/>
    <w:rsid w:val="004328FC"/>
    <w:rsid w:val="00436135"/>
    <w:rsid w:val="004424B1"/>
    <w:rsid w:val="0047161B"/>
    <w:rsid w:val="00471C98"/>
    <w:rsid w:val="0049059C"/>
    <w:rsid w:val="004A7C6D"/>
    <w:rsid w:val="004B0A02"/>
    <w:rsid w:val="004E3ECF"/>
    <w:rsid w:val="005022B0"/>
    <w:rsid w:val="005122E7"/>
    <w:rsid w:val="00517C99"/>
    <w:rsid w:val="00535FA2"/>
    <w:rsid w:val="00550C1D"/>
    <w:rsid w:val="0056275B"/>
    <w:rsid w:val="0059438C"/>
    <w:rsid w:val="005A626E"/>
    <w:rsid w:val="005B6F1A"/>
    <w:rsid w:val="005F2361"/>
    <w:rsid w:val="005F4E35"/>
    <w:rsid w:val="006114AB"/>
    <w:rsid w:val="00620474"/>
    <w:rsid w:val="00627E4D"/>
    <w:rsid w:val="006414D5"/>
    <w:rsid w:val="00645C09"/>
    <w:rsid w:val="006631CA"/>
    <w:rsid w:val="0069048D"/>
    <w:rsid w:val="006A0ED8"/>
    <w:rsid w:val="006A5DEF"/>
    <w:rsid w:val="006E0F5A"/>
    <w:rsid w:val="006E1BD4"/>
    <w:rsid w:val="006F185E"/>
    <w:rsid w:val="0070572B"/>
    <w:rsid w:val="00752502"/>
    <w:rsid w:val="00772DAE"/>
    <w:rsid w:val="00775021"/>
    <w:rsid w:val="00777953"/>
    <w:rsid w:val="00784699"/>
    <w:rsid w:val="00786DD4"/>
    <w:rsid w:val="007A0C0C"/>
    <w:rsid w:val="007A6B9A"/>
    <w:rsid w:val="007B1DC9"/>
    <w:rsid w:val="007B6C45"/>
    <w:rsid w:val="007D2ABC"/>
    <w:rsid w:val="007D3334"/>
    <w:rsid w:val="007E724F"/>
    <w:rsid w:val="007F4154"/>
    <w:rsid w:val="00816A3C"/>
    <w:rsid w:val="00822D33"/>
    <w:rsid w:val="0083512A"/>
    <w:rsid w:val="00850A80"/>
    <w:rsid w:val="00871D52"/>
    <w:rsid w:val="00881FB9"/>
    <w:rsid w:val="00883272"/>
    <w:rsid w:val="008B0D7D"/>
    <w:rsid w:val="008D7651"/>
    <w:rsid w:val="008E280C"/>
    <w:rsid w:val="008E3AD5"/>
    <w:rsid w:val="008F7097"/>
    <w:rsid w:val="00906356"/>
    <w:rsid w:val="0091086B"/>
    <w:rsid w:val="0091127C"/>
    <w:rsid w:val="0094035C"/>
    <w:rsid w:val="00940C7E"/>
    <w:rsid w:val="00954759"/>
    <w:rsid w:val="009610FD"/>
    <w:rsid w:val="00962E6A"/>
    <w:rsid w:val="00970E08"/>
    <w:rsid w:val="00975D45"/>
    <w:rsid w:val="009771F6"/>
    <w:rsid w:val="0098011C"/>
    <w:rsid w:val="00981BCF"/>
    <w:rsid w:val="00982205"/>
    <w:rsid w:val="009B59A0"/>
    <w:rsid w:val="009D5A7A"/>
    <w:rsid w:val="009F3D83"/>
    <w:rsid w:val="00A139F2"/>
    <w:rsid w:val="00A30233"/>
    <w:rsid w:val="00A40A2D"/>
    <w:rsid w:val="00A50DCE"/>
    <w:rsid w:val="00A54184"/>
    <w:rsid w:val="00A61963"/>
    <w:rsid w:val="00A76987"/>
    <w:rsid w:val="00A7710C"/>
    <w:rsid w:val="00A83175"/>
    <w:rsid w:val="00A854D6"/>
    <w:rsid w:val="00A85B40"/>
    <w:rsid w:val="00A9694C"/>
    <w:rsid w:val="00AA624B"/>
    <w:rsid w:val="00AA72C1"/>
    <w:rsid w:val="00AB56DC"/>
    <w:rsid w:val="00AD145C"/>
    <w:rsid w:val="00AD43C6"/>
    <w:rsid w:val="00AE319A"/>
    <w:rsid w:val="00B06305"/>
    <w:rsid w:val="00B11D8F"/>
    <w:rsid w:val="00B35597"/>
    <w:rsid w:val="00B50F3A"/>
    <w:rsid w:val="00B64B0A"/>
    <w:rsid w:val="00B673A6"/>
    <w:rsid w:val="00B67E85"/>
    <w:rsid w:val="00B743A5"/>
    <w:rsid w:val="00B826D1"/>
    <w:rsid w:val="00B82C46"/>
    <w:rsid w:val="00B838A0"/>
    <w:rsid w:val="00B86ED0"/>
    <w:rsid w:val="00B87658"/>
    <w:rsid w:val="00B972B3"/>
    <w:rsid w:val="00BA4E4F"/>
    <w:rsid w:val="00BB0579"/>
    <w:rsid w:val="00BB7B98"/>
    <w:rsid w:val="00BE1636"/>
    <w:rsid w:val="00C12A0C"/>
    <w:rsid w:val="00C23EBB"/>
    <w:rsid w:val="00C4148C"/>
    <w:rsid w:val="00C443D6"/>
    <w:rsid w:val="00C5548B"/>
    <w:rsid w:val="00C55D47"/>
    <w:rsid w:val="00C70858"/>
    <w:rsid w:val="00C734AD"/>
    <w:rsid w:val="00C75683"/>
    <w:rsid w:val="00C90D35"/>
    <w:rsid w:val="00C97551"/>
    <w:rsid w:val="00CA274C"/>
    <w:rsid w:val="00CB4293"/>
    <w:rsid w:val="00D02279"/>
    <w:rsid w:val="00D04AE6"/>
    <w:rsid w:val="00D07DB6"/>
    <w:rsid w:val="00D21F90"/>
    <w:rsid w:val="00D264AB"/>
    <w:rsid w:val="00D337C7"/>
    <w:rsid w:val="00D50C1E"/>
    <w:rsid w:val="00D57026"/>
    <w:rsid w:val="00D6369B"/>
    <w:rsid w:val="00D7748E"/>
    <w:rsid w:val="00D86549"/>
    <w:rsid w:val="00DD28AC"/>
    <w:rsid w:val="00DD28F0"/>
    <w:rsid w:val="00DD43E6"/>
    <w:rsid w:val="00DE4D81"/>
    <w:rsid w:val="00DE4F87"/>
    <w:rsid w:val="00E055ED"/>
    <w:rsid w:val="00E35531"/>
    <w:rsid w:val="00E51314"/>
    <w:rsid w:val="00E620C6"/>
    <w:rsid w:val="00E622BC"/>
    <w:rsid w:val="00E72A2B"/>
    <w:rsid w:val="00E72BE6"/>
    <w:rsid w:val="00E90B97"/>
    <w:rsid w:val="00E90DAA"/>
    <w:rsid w:val="00E95ECF"/>
    <w:rsid w:val="00EC5678"/>
    <w:rsid w:val="00ED3022"/>
    <w:rsid w:val="00EE1142"/>
    <w:rsid w:val="00EE3B5B"/>
    <w:rsid w:val="00EE6D11"/>
    <w:rsid w:val="00F00907"/>
    <w:rsid w:val="00F030E4"/>
    <w:rsid w:val="00F12A83"/>
    <w:rsid w:val="00F12BAE"/>
    <w:rsid w:val="00F263CF"/>
    <w:rsid w:val="00F27774"/>
    <w:rsid w:val="00F321BF"/>
    <w:rsid w:val="00F56185"/>
    <w:rsid w:val="00F605C4"/>
    <w:rsid w:val="00F64DDB"/>
    <w:rsid w:val="00F677F9"/>
    <w:rsid w:val="00F71DCD"/>
    <w:rsid w:val="00F74AA3"/>
    <w:rsid w:val="00F91BCE"/>
    <w:rsid w:val="00FA48B9"/>
    <w:rsid w:val="00FB2F9D"/>
    <w:rsid w:val="00FB6680"/>
    <w:rsid w:val="00FD3BF9"/>
    <w:rsid w:val="00FE0EEB"/>
    <w:rsid w:val="13F9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ind w:firstLine="720"/>
      <w:jc w:val="both"/>
    </w:pPr>
    <w:rPr>
      <w:rFonts w:ascii="Times New Roman" w:hAnsi="Times New Roman" w:cs="Times New Roman" w:eastAsiaTheme="minorHAnsi"/>
      <w:kern w:val="0"/>
      <w:sz w:val="28"/>
      <w:szCs w:val="28"/>
      <w:lang w:val="uk-UA" w:eastAsia="en-US" w:bidi="ar-SA"/>
      <w14:ligatures w14:val="none"/>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rPr>
      <w:sz w:val="24"/>
      <w:szCs w:val="24"/>
    </w:rPr>
  </w:style>
  <w:style w:type="character" w:styleId="14">
    <w:name w:val="Strong"/>
    <w:basedOn w:val="11"/>
    <w:qFormat/>
    <w:uiPriority w:val="22"/>
    <w:rPr>
      <w:b/>
      <w:bCs/>
    </w:rPr>
  </w:style>
  <w:style w:type="paragraph" w:styleId="15">
    <w:name w:val="Subtitle"/>
    <w:basedOn w:val="1"/>
    <w:next w:val="1"/>
    <w:link w:val="27"/>
    <w:qFormat/>
    <w:uiPriority w:val="11"/>
    <w:pPr>
      <w:ind w:firstLine="720"/>
    </w:pPr>
    <w:rPr>
      <w:rFonts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Заголовок 1 Знак"/>
    <w:basedOn w:val="11"/>
    <w:link w:val="2"/>
    <w:qFormat/>
    <w:uiPriority w:val="9"/>
    <w:rPr>
      <w:rFonts w:asciiTheme="majorHAnsi" w:hAnsiTheme="majorHAnsi" w:eastAsiaTheme="majorEastAsia" w:cstheme="majorBidi"/>
      <w:color w:val="104862" w:themeColor="accent1" w:themeShade="BF"/>
      <w:sz w:val="40"/>
      <w:szCs w:val="40"/>
      <w:lang w:val="uk-UA"/>
    </w:rPr>
  </w:style>
  <w:style w:type="character" w:customStyle="1" w:styleId="18">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lang w:val="uk-UA"/>
    </w:rPr>
  </w:style>
  <w:style w:type="character" w:customStyle="1" w:styleId="19">
    <w:name w:val="Заголовок 3 Знак"/>
    <w:basedOn w:val="11"/>
    <w:link w:val="4"/>
    <w:semiHidden/>
    <w:qFormat/>
    <w:uiPriority w:val="9"/>
    <w:rPr>
      <w:rFonts w:eastAsiaTheme="majorEastAsia" w:cstheme="majorBidi"/>
      <w:color w:val="104862" w:themeColor="accent1" w:themeShade="BF"/>
      <w:sz w:val="28"/>
      <w:szCs w:val="28"/>
      <w:lang w:val="uk-UA"/>
    </w:rPr>
  </w:style>
  <w:style w:type="character" w:customStyle="1" w:styleId="20">
    <w:name w:val="Заголовок 4 Знак"/>
    <w:basedOn w:val="11"/>
    <w:link w:val="5"/>
    <w:semiHidden/>
    <w:qFormat/>
    <w:uiPriority w:val="9"/>
    <w:rPr>
      <w:rFonts w:eastAsiaTheme="majorEastAsia" w:cstheme="majorBidi"/>
      <w:i/>
      <w:iCs/>
      <w:color w:val="104862" w:themeColor="accent1" w:themeShade="BF"/>
      <w:lang w:val="uk-UA"/>
    </w:rPr>
  </w:style>
  <w:style w:type="character" w:customStyle="1" w:styleId="21">
    <w:name w:val="Заголовок 5 Знак"/>
    <w:basedOn w:val="11"/>
    <w:link w:val="6"/>
    <w:semiHidden/>
    <w:qFormat/>
    <w:uiPriority w:val="9"/>
    <w:rPr>
      <w:rFonts w:eastAsiaTheme="majorEastAsia" w:cstheme="majorBidi"/>
      <w:color w:val="104862" w:themeColor="accent1" w:themeShade="BF"/>
      <w:lang w:val="uk-UA"/>
    </w:rPr>
  </w:style>
  <w:style w:type="character" w:customStyle="1" w:styleId="22">
    <w:name w:val="Заголовок 6 Знак"/>
    <w:basedOn w:val="11"/>
    <w:link w:val="7"/>
    <w:semiHidden/>
    <w:qFormat/>
    <w:uiPriority w:val="9"/>
    <w:rPr>
      <w:rFonts w:eastAsiaTheme="majorEastAsia" w:cstheme="majorBidi"/>
      <w:i/>
      <w:iCs/>
      <w:color w:val="595959" w:themeColor="text1" w:themeTint="A6"/>
      <w:lang w:val="uk-UA"/>
      <w14:textFill>
        <w14:solidFill>
          <w14:schemeClr w14:val="tx1">
            <w14:lumMod w14:val="65000"/>
            <w14:lumOff w14:val="35000"/>
          </w14:schemeClr>
        </w14:solidFill>
      </w14:textFill>
    </w:rPr>
  </w:style>
  <w:style w:type="character" w:customStyle="1" w:styleId="23">
    <w:name w:val="Заголовок 7 Знак"/>
    <w:basedOn w:val="11"/>
    <w:link w:val="8"/>
    <w:semiHidden/>
    <w:qFormat/>
    <w:uiPriority w:val="9"/>
    <w:rPr>
      <w:rFonts w:eastAsiaTheme="majorEastAsia" w:cstheme="majorBidi"/>
      <w:color w:val="595959" w:themeColor="text1" w:themeTint="A6"/>
      <w:lang w:val="uk-UA"/>
      <w14:textFill>
        <w14:solidFill>
          <w14:schemeClr w14:val="tx1">
            <w14:lumMod w14:val="65000"/>
            <w14:lumOff w14:val="35000"/>
          </w14:schemeClr>
        </w14:solidFill>
      </w14:textFill>
    </w:rPr>
  </w:style>
  <w:style w:type="character" w:customStyle="1" w:styleId="24">
    <w:name w:val="Заголовок 8 Знак"/>
    <w:basedOn w:val="11"/>
    <w:link w:val="9"/>
    <w:semiHidden/>
    <w:qFormat/>
    <w:uiPriority w:val="9"/>
    <w:rPr>
      <w:rFonts w:eastAsiaTheme="majorEastAsia" w:cstheme="majorBidi"/>
      <w:i/>
      <w:iCs/>
      <w:color w:val="262626" w:themeColor="text1" w:themeTint="D9"/>
      <w:lang w:val="uk-UA"/>
      <w14:textFill>
        <w14:solidFill>
          <w14:schemeClr w14:val="tx1">
            <w14:lumMod w14:val="85000"/>
            <w14:lumOff w14:val="15000"/>
          </w14:schemeClr>
        </w14:solidFill>
      </w14:textFill>
    </w:rPr>
  </w:style>
  <w:style w:type="character" w:customStyle="1" w:styleId="25">
    <w:name w:val="Заголовок 9 Знак"/>
    <w:basedOn w:val="11"/>
    <w:link w:val="10"/>
    <w:semiHidden/>
    <w:qFormat/>
    <w:uiPriority w:val="9"/>
    <w:rPr>
      <w:rFonts w:eastAsiaTheme="majorEastAsia" w:cstheme="majorBidi"/>
      <w:color w:val="262626" w:themeColor="text1" w:themeTint="D9"/>
      <w:lang w:val="uk-UA"/>
      <w14:textFill>
        <w14:solidFill>
          <w14:schemeClr w14:val="tx1">
            <w14:lumMod w14:val="85000"/>
            <w14:lumOff w14:val="15000"/>
          </w14:schemeClr>
        </w14:solidFill>
      </w14:textFill>
    </w:rPr>
  </w:style>
  <w:style w:type="character" w:customStyle="1" w:styleId="26">
    <w:name w:val="Заголовок Знак"/>
    <w:basedOn w:val="11"/>
    <w:link w:val="16"/>
    <w:qFormat/>
    <w:uiPriority w:val="10"/>
    <w:rPr>
      <w:rFonts w:asciiTheme="majorHAnsi" w:hAnsiTheme="majorHAnsi" w:eastAsiaTheme="majorEastAsia" w:cstheme="majorBidi"/>
      <w:spacing w:val="-10"/>
      <w:kern w:val="28"/>
      <w:sz w:val="56"/>
      <w:szCs w:val="56"/>
      <w:lang w:val="uk-UA"/>
    </w:rPr>
  </w:style>
  <w:style w:type="character" w:customStyle="1" w:styleId="27">
    <w:name w:val="Подзаголовок Знак"/>
    <w:basedOn w:val="11"/>
    <w:link w:val="15"/>
    <w:qFormat/>
    <w:uiPriority w:val="11"/>
    <w:rPr>
      <w:rFonts w:eastAsiaTheme="majorEastAsia" w:cstheme="majorBidi"/>
      <w:color w:val="595959" w:themeColor="text1" w:themeTint="A6"/>
      <w:spacing w:val="15"/>
      <w:sz w:val="28"/>
      <w:szCs w:val="28"/>
      <w:lang w:val="uk-UA"/>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Цитата 2 Знак"/>
    <w:basedOn w:val="11"/>
    <w:link w:val="28"/>
    <w:qFormat/>
    <w:uiPriority w:val="29"/>
    <w:rPr>
      <w:i/>
      <w:iCs/>
      <w:color w:val="404040" w:themeColor="text1" w:themeTint="BF"/>
      <w:lang w:val="uk-UA"/>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Выделенная цитата Знак"/>
    <w:basedOn w:val="11"/>
    <w:link w:val="32"/>
    <w:qFormat/>
    <w:uiPriority w:val="30"/>
    <w:rPr>
      <w:i/>
      <w:iCs/>
      <w:color w:val="104862" w:themeColor="accent1" w:themeShade="BF"/>
      <w:lang w:val="uk-UA"/>
    </w:rPr>
  </w:style>
  <w:style w:type="character" w:customStyle="1" w:styleId="34">
    <w:name w:val="Intense Reference"/>
    <w:basedOn w:val="11"/>
    <w:qFormat/>
    <w:uiPriority w:val="32"/>
    <w:rPr>
      <w:b/>
      <w:bCs/>
      <w:smallCaps/>
      <w:color w:val="104862" w:themeColor="accent1" w:themeShade="BF"/>
      <w:spacing w:val="5"/>
    </w:rPr>
  </w:style>
  <w:style w:type="paragraph" w:styleId="35">
    <w:name w:val="No Spacing"/>
    <w:qFormat/>
    <w:uiPriority w:val="1"/>
    <w:pPr>
      <w:widowControl w:val="0"/>
      <w:spacing w:after="0" w:line="240" w:lineRule="auto"/>
    </w:pPr>
    <w:rPr>
      <w:rFonts w:ascii="Arial Unicode MS" w:hAnsi="Arial Unicode MS" w:eastAsia="Arial Unicode MS" w:cs="Arial Unicode MS"/>
      <w:color w:val="000000"/>
      <w:kern w:val="0"/>
      <w:sz w:val="24"/>
      <w:szCs w:val="24"/>
      <w:lang w:val="uk-UA" w:eastAsia="uk-UA" w:bidi="uk-UA"/>
      <w14:ligatures w14:val="none"/>
    </w:rPr>
  </w:style>
  <w:style w:type="paragraph" w:customStyle="1" w:styleId="36">
    <w:name w:val="Subheader"/>
    <w:basedOn w:val="1"/>
    <w:link w:val="37"/>
    <w:qFormat/>
    <w:uiPriority w:val="0"/>
    <w:pPr>
      <w:spacing w:after="120"/>
      <w:ind w:firstLine="0"/>
      <w:jc w:val="center"/>
    </w:pPr>
    <w:rPr>
      <w:b/>
      <w:bCs/>
    </w:rPr>
  </w:style>
  <w:style w:type="character" w:customStyle="1" w:styleId="37">
    <w:name w:val="Subheader Char"/>
    <w:basedOn w:val="11"/>
    <w:link w:val="36"/>
    <w:qFormat/>
    <w:uiPriority w:val="0"/>
    <w:rPr>
      <w:rFonts w:ascii="Times New Roman" w:hAnsi="Times New Roman" w:cs="Times New Roman"/>
      <w:b/>
      <w:bCs/>
      <w:kern w:val="0"/>
      <w:sz w:val="28"/>
      <w:szCs w:val="28"/>
      <w:lang w:val="uk-U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1607</Words>
  <Characters>12089</Characters>
  <Lines>232</Lines>
  <Paragraphs>53</Paragraphs>
  <TotalTime>10</TotalTime>
  <ScaleCrop>false</ScaleCrop>
  <LinksUpToDate>false</LinksUpToDate>
  <CharactersWithSpaces>13643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2026-01-02T14:39:00Z</dcterms:created>
  <dc:creator>Oleksii Serhieiev</dc:creator>
  <cp:lastModifiedBy>Александра Макурина</cp:lastModifiedBy>
  <dcterms:modified xsi:type="dcterms:W3CDTF">2026-01-12T07:09:11Z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E9DC5F3D09F5440A8A98C7161039B67F_13</vt:lpwstr>
  </property>
</Properties>
</file>